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3839A" w14:textId="7BC18C6C" w:rsidR="00477207" w:rsidRDefault="00477207" w:rsidP="005521FE">
      <w:pPr>
        <w:tabs>
          <w:tab w:val="right" w:pos="10800"/>
        </w:tabs>
        <w:spacing w:after="0"/>
        <w:rPr>
          <w:rFonts w:ascii="Arial" w:hAnsi="Arial" w:cs="Arial"/>
          <w:b/>
          <w:bCs/>
          <w:sz w:val="20"/>
          <w:szCs w:val="20"/>
        </w:rPr>
      </w:pPr>
      <w:r>
        <w:rPr>
          <w:rFonts w:ascii="Arial" w:hAnsi="Arial" w:cs="Arial"/>
          <w:b/>
          <w:bCs/>
          <w:sz w:val="20"/>
          <w:szCs w:val="20"/>
        </w:rPr>
        <w:t>Unit 6 – Consequences of Industrialization</w:t>
      </w:r>
      <w:r>
        <w:rPr>
          <w:rFonts w:ascii="Arial" w:hAnsi="Arial" w:cs="Arial"/>
          <w:b/>
          <w:bCs/>
          <w:sz w:val="20"/>
          <w:szCs w:val="20"/>
        </w:rPr>
        <w:tab/>
        <w:t xml:space="preserve">Topic 6.6 – </w:t>
      </w:r>
      <w:r w:rsidR="00FA1396">
        <w:rPr>
          <w:rFonts w:ascii="Arial" w:hAnsi="Arial" w:cs="Arial"/>
          <w:b/>
          <w:bCs/>
          <w:sz w:val="20"/>
          <w:szCs w:val="20"/>
        </w:rPr>
        <w:t>Causes of Migration in an Interconnected World</w:t>
      </w:r>
    </w:p>
    <w:tbl>
      <w:tblPr>
        <w:tblStyle w:val="TableGrid"/>
        <w:tblW w:w="10885" w:type="dxa"/>
        <w:tblLook w:val="04A0" w:firstRow="1" w:lastRow="0" w:firstColumn="1" w:lastColumn="0" w:noHBand="0" w:noVBand="1"/>
      </w:tblPr>
      <w:tblGrid>
        <w:gridCol w:w="1440"/>
        <w:gridCol w:w="1467"/>
        <w:gridCol w:w="7978"/>
      </w:tblGrid>
      <w:tr w:rsidR="002800AC" w:rsidRPr="00D40E5C" w14:paraId="3F01AE3C" w14:textId="77777777" w:rsidTr="005521FE">
        <w:tc>
          <w:tcPr>
            <w:tcW w:w="10885" w:type="dxa"/>
            <w:gridSpan w:val="3"/>
          </w:tcPr>
          <w:p w14:paraId="1900B966" w14:textId="77777777" w:rsidR="002800AC" w:rsidRDefault="002800AC" w:rsidP="002800AC">
            <w:pPr>
              <w:pStyle w:val="Default"/>
              <w:rPr>
                <w:rFonts w:ascii="Arial" w:hAnsi="Arial" w:cs="Arial"/>
                <w:sz w:val="20"/>
                <w:szCs w:val="20"/>
              </w:rPr>
            </w:pPr>
            <w:r>
              <w:rPr>
                <w:rFonts w:ascii="Arial" w:hAnsi="Arial" w:cs="Arial"/>
                <w:b/>
                <w:bCs/>
                <w:sz w:val="20"/>
                <w:szCs w:val="20"/>
              </w:rPr>
              <w:t>Humans and the Environments</w:t>
            </w:r>
          </w:p>
          <w:p w14:paraId="76C35786" w14:textId="4BD54888" w:rsidR="002800AC" w:rsidRPr="00D40E5C" w:rsidRDefault="002800AC" w:rsidP="002800AC">
            <w:pPr>
              <w:rPr>
                <w:rFonts w:ascii="Arial" w:hAnsi="Arial" w:cs="Arial"/>
                <w:sz w:val="20"/>
                <w:szCs w:val="20"/>
              </w:rPr>
            </w:pPr>
            <w:r>
              <w:rPr>
                <w:rFonts w:ascii="Arial" w:hAnsi="Arial" w:cs="Arial"/>
                <w:sz w:val="20"/>
                <w:szCs w:val="20"/>
              </w:rPr>
              <w:t xml:space="preserve">The environment shapes human societies, and as populations grow and change, these populations in turn shape their environments. </w:t>
            </w:r>
          </w:p>
        </w:tc>
      </w:tr>
      <w:tr w:rsidR="00D40E5C" w:rsidRPr="00D40E5C" w14:paraId="35163CCB" w14:textId="77777777" w:rsidTr="005521FE">
        <w:tc>
          <w:tcPr>
            <w:tcW w:w="1440" w:type="dxa"/>
            <w:shd w:val="clear" w:color="auto" w:fill="D9D9D9" w:themeFill="background1" w:themeFillShade="D9"/>
            <w:vAlign w:val="center"/>
          </w:tcPr>
          <w:p w14:paraId="4D32A24A" w14:textId="24322AD5" w:rsidR="00D40E5C" w:rsidRPr="00DD418A" w:rsidRDefault="00D40E5C" w:rsidP="00D40E5C">
            <w:pPr>
              <w:jc w:val="center"/>
              <w:rPr>
                <w:rFonts w:ascii="Arial" w:hAnsi="Arial" w:cs="Arial"/>
                <w:b/>
                <w:bCs/>
                <w:sz w:val="16"/>
                <w:szCs w:val="16"/>
              </w:rPr>
            </w:pPr>
            <w:r w:rsidRPr="00DD418A">
              <w:rPr>
                <w:rFonts w:ascii="Arial" w:hAnsi="Arial" w:cs="Arial"/>
                <w:b/>
                <w:bCs/>
                <w:sz w:val="16"/>
                <w:szCs w:val="16"/>
              </w:rPr>
              <w:t>Learning Objective</w:t>
            </w:r>
          </w:p>
        </w:tc>
        <w:tc>
          <w:tcPr>
            <w:tcW w:w="1467" w:type="dxa"/>
            <w:shd w:val="clear" w:color="auto" w:fill="D9D9D9" w:themeFill="background1" w:themeFillShade="D9"/>
            <w:vAlign w:val="center"/>
          </w:tcPr>
          <w:p w14:paraId="2A88D8A9" w14:textId="5B28FC50" w:rsidR="00D40E5C" w:rsidRPr="00DD418A" w:rsidRDefault="00DD418A" w:rsidP="00D40E5C">
            <w:pPr>
              <w:jc w:val="center"/>
              <w:rPr>
                <w:rFonts w:ascii="Arial" w:hAnsi="Arial" w:cs="Arial"/>
                <w:b/>
                <w:bCs/>
                <w:sz w:val="16"/>
                <w:szCs w:val="16"/>
              </w:rPr>
            </w:pPr>
            <w:r w:rsidRPr="00DD418A">
              <w:rPr>
                <w:rFonts w:ascii="Arial" w:hAnsi="Arial" w:cs="Arial"/>
                <w:b/>
                <w:bCs/>
                <w:sz w:val="16"/>
                <w:szCs w:val="16"/>
              </w:rPr>
              <w:t>Historical Developments</w:t>
            </w:r>
          </w:p>
        </w:tc>
        <w:tc>
          <w:tcPr>
            <w:tcW w:w="7978" w:type="dxa"/>
            <w:shd w:val="clear" w:color="auto" w:fill="D9D9D9" w:themeFill="background1" w:themeFillShade="D9"/>
            <w:vAlign w:val="center"/>
          </w:tcPr>
          <w:p w14:paraId="5EEC94D3" w14:textId="13E22A8D" w:rsidR="00D40E5C" w:rsidRPr="00DD418A" w:rsidRDefault="00D40E5C" w:rsidP="00D40E5C">
            <w:pPr>
              <w:jc w:val="center"/>
              <w:rPr>
                <w:rFonts w:ascii="Arial" w:hAnsi="Arial" w:cs="Arial"/>
                <w:b/>
                <w:bCs/>
                <w:sz w:val="16"/>
                <w:szCs w:val="16"/>
              </w:rPr>
            </w:pPr>
            <w:r w:rsidRPr="00DD418A">
              <w:rPr>
                <w:rFonts w:ascii="Arial" w:hAnsi="Arial" w:cs="Arial"/>
                <w:b/>
                <w:bCs/>
                <w:sz w:val="16"/>
                <w:szCs w:val="16"/>
              </w:rPr>
              <w:t>Study Guide Notes</w:t>
            </w:r>
          </w:p>
        </w:tc>
      </w:tr>
      <w:tr w:rsidR="00FA1396" w:rsidRPr="00D40E5C" w14:paraId="371A7E88" w14:textId="77777777" w:rsidTr="005521FE">
        <w:trPr>
          <w:trHeight w:val="3600"/>
        </w:trPr>
        <w:tc>
          <w:tcPr>
            <w:tcW w:w="1440" w:type="dxa"/>
            <w:vMerge w:val="restart"/>
            <w:vAlign w:val="center"/>
          </w:tcPr>
          <w:p w14:paraId="0E546590" w14:textId="0AB0979C" w:rsidR="00FA1396" w:rsidRPr="00A57830" w:rsidRDefault="00A57830" w:rsidP="00A57830">
            <w:pPr>
              <w:pStyle w:val="Default"/>
              <w:rPr>
                <w:rFonts w:ascii="Arial" w:hAnsi="Arial" w:cs="Arial"/>
                <w:sz w:val="18"/>
                <w:szCs w:val="18"/>
              </w:rPr>
            </w:pPr>
            <w:r w:rsidRPr="00A57830">
              <w:rPr>
                <w:rFonts w:ascii="Arial" w:hAnsi="Arial" w:cs="Arial"/>
                <w:sz w:val="18"/>
                <w:szCs w:val="18"/>
              </w:rPr>
              <w:t xml:space="preserve">Explain how various environmental factors contributed to the development of varied patterns of migration from 1750 to 1900. </w:t>
            </w:r>
          </w:p>
        </w:tc>
        <w:tc>
          <w:tcPr>
            <w:tcW w:w="1467" w:type="dxa"/>
            <w:vAlign w:val="center"/>
          </w:tcPr>
          <w:p w14:paraId="56C8ED19" w14:textId="77BDFC92" w:rsidR="00FA1396" w:rsidRPr="00A57830" w:rsidRDefault="00A57830" w:rsidP="00A57830">
            <w:pPr>
              <w:pStyle w:val="Default"/>
              <w:rPr>
                <w:rFonts w:ascii="Arial" w:hAnsi="Arial" w:cs="Arial"/>
                <w:sz w:val="18"/>
                <w:szCs w:val="18"/>
              </w:rPr>
            </w:pPr>
            <w:r w:rsidRPr="00A57830">
              <w:rPr>
                <w:rFonts w:ascii="Arial" w:hAnsi="Arial" w:cs="Arial"/>
                <w:sz w:val="18"/>
                <w:szCs w:val="18"/>
              </w:rPr>
              <w:t xml:space="preserve">Migration in many cases was influenced by changes in demographics in both industrialized and unindustrialized societies that presented challenges to existing patterns of living. </w:t>
            </w:r>
          </w:p>
        </w:tc>
        <w:tc>
          <w:tcPr>
            <w:tcW w:w="7978" w:type="dxa"/>
            <w:vAlign w:val="center"/>
          </w:tcPr>
          <w:p w14:paraId="753CC33A" w14:textId="77777777" w:rsidR="00FA1396" w:rsidRPr="00D40E5C" w:rsidRDefault="00FA1396" w:rsidP="00D40E5C">
            <w:pPr>
              <w:rPr>
                <w:rFonts w:ascii="Arial" w:hAnsi="Arial" w:cs="Arial"/>
                <w:sz w:val="18"/>
                <w:szCs w:val="18"/>
              </w:rPr>
            </w:pPr>
          </w:p>
        </w:tc>
      </w:tr>
      <w:tr w:rsidR="00FA1396" w:rsidRPr="00D40E5C" w14:paraId="62B75401" w14:textId="77777777" w:rsidTr="005521FE">
        <w:trPr>
          <w:trHeight w:val="5760"/>
        </w:trPr>
        <w:tc>
          <w:tcPr>
            <w:tcW w:w="1440" w:type="dxa"/>
            <w:vMerge/>
            <w:vAlign w:val="center"/>
          </w:tcPr>
          <w:p w14:paraId="21C2DA2C" w14:textId="77777777" w:rsidR="00FA1396" w:rsidRPr="00A57830" w:rsidRDefault="00FA1396" w:rsidP="00D40E5C">
            <w:pPr>
              <w:rPr>
                <w:rFonts w:ascii="Arial" w:hAnsi="Arial" w:cs="Arial"/>
                <w:sz w:val="18"/>
                <w:szCs w:val="18"/>
              </w:rPr>
            </w:pPr>
          </w:p>
        </w:tc>
        <w:tc>
          <w:tcPr>
            <w:tcW w:w="1467" w:type="dxa"/>
            <w:vAlign w:val="center"/>
          </w:tcPr>
          <w:p w14:paraId="4B38967C" w14:textId="3A175725" w:rsidR="00FA1396" w:rsidRPr="00A57830" w:rsidRDefault="00A57830" w:rsidP="00A57830">
            <w:pPr>
              <w:pStyle w:val="Default"/>
              <w:rPr>
                <w:rFonts w:ascii="Arial" w:hAnsi="Arial" w:cs="Arial"/>
                <w:sz w:val="18"/>
                <w:szCs w:val="18"/>
              </w:rPr>
            </w:pPr>
            <w:r w:rsidRPr="00A57830">
              <w:rPr>
                <w:rFonts w:ascii="Arial" w:hAnsi="Arial" w:cs="Arial"/>
                <w:sz w:val="18"/>
                <w:szCs w:val="18"/>
              </w:rPr>
              <w:t xml:space="preserve">Because of the nature of new modes of transportation, both internal and external migrants increasingly relocated to cities. This pattern contributed to the significant global urbanization of the 19th century. The new methods of transportation also allowed for many migrants to return, periodically or permanently, to their home societies. </w:t>
            </w:r>
          </w:p>
        </w:tc>
        <w:tc>
          <w:tcPr>
            <w:tcW w:w="7978" w:type="dxa"/>
            <w:vAlign w:val="center"/>
          </w:tcPr>
          <w:p w14:paraId="54F1FE58" w14:textId="77777777" w:rsidR="00FA1396" w:rsidRPr="00D40E5C" w:rsidRDefault="00FA1396" w:rsidP="00D40E5C">
            <w:pPr>
              <w:rPr>
                <w:rFonts w:ascii="Arial" w:hAnsi="Arial" w:cs="Arial"/>
                <w:sz w:val="18"/>
                <w:szCs w:val="18"/>
              </w:rPr>
            </w:pPr>
          </w:p>
        </w:tc>
      </w:tr>
      <w:tr w:rsidR="005521FE" w:rsidRPr="00D40E5C" w14:paraId="17AEFDCF" w14:textId="77777777" w:rsidTr="006D6AEE">
        <w:trPr>
          <w:trHeight w:val="3600"/>
        </w:trPr>
        <w:tc>
          <w:tcPr>
            <w:tcW w:w="10885" w:type="dxa"/>
            <w:gridSpan w:val="3"/>
          </w:tcPr>
          <w:p w14:paraId="41092A77" w14:textId="77777777" w:rsidR="005521FE" w:rsidRPr="00D40E5C" w:rsidRDefault="005521FE" w:rsidP="006D6AEE">
            <w:pPr>
              <w:rPr>
                <w:rFonts w:ascii="Arial" w:hAnsi="Arial" w:cs="Arial"/>
                <w:b/>
                <w:bCs/>
                <w:sz w:val="18"/>
                <w:szCs w:val="18"/>
              </w:rPr>
            </w:pPr>
            <w:r w:rsidRPr="00D40E5C">
              <w:rPr>
                <w:rFonts w:ascii="Arial" w:hAnsi="Arial" w:cs="Arial"/>
                <w:b/>
                <w:bCs/>
                <w:sz w:val="18"/>
                <w:szCs w:val="18"/>
              </w:rPr>
              <w:t>Respond to the Learning Objective:</w:t>
            </w:r>
          </w:p>
        </w:tc>
      </w:tr>
    </w:tbl>
    <w:p w14:paraId="7D623A94" w14:textId="77777777" w:rsidR="005521FE" w:rsidRDefault="005521FE" w:rsidP="00A57830">
      <w:pPr>
        <w:pStyle w:val="Default"/>
        <w:rPr>
          <w:rFonts w:ascii="Arial" w:hAnsi="Arial" w:cs="Arial"/>
          <w:b/>
          <w:bCs/>
          <w:sz w:val="20"/>
          <w:szCs w:val="20"/>
        </w:rPr>
        <w:sectPr w:rsidR="005521FE" w:rsidSect="005521FE">
          <w:pgSz w:w="12240" w:h="15840"/>
          <w:pgMar w:top="720" w:right="720" w:bottom="720" w:left="720" w:header="720" w:footer="720" w:gutter="0"/>
          <w:cols w:space="720"/>
          <w:docGrid w:linePitch="360"/>
        </w:sectPr>
      </w:pPr>
    </w:p>
    <w:tbl>
      <w:tblPr>
        <w:tblStyle w:val="TableGrid"/>
        <w:tblW w:w="10885" w:type="dxa"/>
        <w:tblLook w:val="04A0" w:firstRow="1" w:lastRow="0" w:firstColumn="1" w:lastColumn="0" w:noHBand="0" w:noVBand="1"/>
      </w:tblPr>
      <w:tblGrid>
        <w:gridCol w:w="1440"/>
        <w:gridCol w:w="1467"/>
        <w:gridCol w:w="7978"/>
      </w:tblGrid>
      <w:tr w:rsidR="00FE0EE8" w:rsidRPr="00D40E5C" w14:paraId="036BE372" w14:textId="77777777" w:rsidTr="005521FE">
        <w:tc>
          <w:tcPr>
            <w:tcW w:w="10885" w:type="dxa"/>
            <w:gridSpan w:val="3"/>
          </w:tcPr>
          <w:p w14:paraId="6B18F125" w14:textId="72A9F67E" w:rsidR="00A57830" w:rsidRDefault="00A57830" w:rsidP="00A57830">
            <w:pPr>
              <w:pStyle w:val="Default"/>
              <w:rPr>
                <w:rFonts w:ascii="Arial" w:hAnsi="Arial" w:cs="Arial"/>
                <w:sz w:val="20"/>
                <w:szCs w:val="20"/>
              </w:rPr>
            </w:pPr>
            <w:r>
              <w:rPr>
                <w:rFonts w:ascii="Arial" w:hAnsi="Arial" w:cs="Arial"/>
                <w:b/>
                <w:bCs/>
                <w:sz w:val="20"/>
                <w:szCs w:val="20"/>
              </w:rPr>
              <w:lastRenderedPageBreak/>
              <w:t>Economics Systems</w:t>
            </w:r>
          </w:p>
          <w:p w14:paraId="7689115C" w14:textId="7DF866DD" w:rsidR="00FE0EE8" w:rsidRPr="00D40E5C" w:rsidRDefault="00A57830" w:rsidP="00A57830">
            <w:pPr>
              <w:rPr>
                <w:rFonts w:ascii="Arial" w:hAnsi="Arial" w:cs="Arial"/>
                <w:sz w:val="20"/>
                <w:szCs w:val="20"/>
              </w:rPr>
            </w:pPr>
            <w:r>
              <w:rPr>
                <w:rFonts w:ascii="Arial" w:hAnsi="Arial" w:cs="Arial"/>
                <w:sz w:val="20"/>
                <w:szCs w:val="20"/>
              </w:rPr>
              <w:t xml:space="preserve">As societies develop, they affect and are affected by the ways that they produce, exchange, and consume goods and services. </w:t>
            </w:r>
          </w:p>
        </w:tc>
      </w:tr>
      <w:tr w:rsidR="00FE0EE8" w:rsidRPr="00D40E5C" w14:paraId="6227F910" w14:textId="77777777" w:rsidTr="005521FE">
        <w:tc>
          <w:tcPr>
            <w:tcW w:w="1440" w:type="dxa"/>
            <w:shd w:val="clear" w:color="auto" w:fill="D9D9D9" w:themeFill="background1" w:themeFillShade="D9"/>
            <w:vAlign w:val="center"/>
          </w:tcPr>
          <w:p w14:paraId="5D014AFA" w14:textId="77777777" w:rsidR="00FE0EE8" w:rsidRPr="00DD418A" w:rsidRDefault="00FE0EE8" w:rsidP="00376935">
            <w:pPr>
              <w:jc w:val="center"/>
              <w:rPr>
                <w:rFonts w:ascii="Arial" w:hAnsi="Arial" w:cs="Arial"/>
                <w:b/>
                <w:bCs/>
                <w:sz w:val="16"/>
                <w:szCs w:val="16"/>
              </w:rPr>
            </w:pPr>
            <w:r w:rsidRPr="00DD418A">
              <w:rPr>
                <w:rFonts w:ascii="Arial" w:hAnsi="Arial" w:cs="Arial"/>
                <w:b/>
                <w:bCs/>
                <w:sz w:val="16"/>
                <w:szCs w:val="16"/>
              </w:rPr>
              <w:t>Learning Objective</w:t>
            </w:r>
          </w:p>
        </w:tc>
        <w:tc>
          <w:tcPr>
            <w:tcW w:w="1467" w:type="dxa"/>
            <w:shd w:val="clear" w:color="auto" w:fill="D9D9D9" w:themeFill="background1" w:themeFillShade="D9"/>
            <w:vAlign w:val="center"/>
          </w:tcPr>
          <w:p w14:paraId="15A64C5D" w14:textId="77777777" w:rsidR="00FE0EE8" w:rsidRPr="00DD418A" w:rsidRDefault="00FE0EE8" w:rsidP="00376935">
            <w:pPr>
              <w:jc w:val="center"/>
              <w:rPr>
                <w:rFonts w:ascii="Arial" w:hAnsi="Arial" w:cs="Arial"/>
                <w:b/>
                <w:bCs/>
                <w:sz w:val="16"/>
                <w:szCs w:val="16"/>
              </w:rPr>
            </w:pPr>
            <w:r w:rsidRPr="00DD418A">
              <w:rPr>
                <w:rFonts w:ascii="Arial" w:hAnsi="Arial" w:cs="Arial"/>
                <w:b/>
                <w:bCs/>
                <w:sz w:val="16"/>
                <w:szCs w:val="16"/>
              </w:rPr>
              <w:t>Historical Developments</w:t>
            </w:r>
          </w:p>
        </w:tc>
        <w:tc>
          <w:tcPr>
            <w:tcW w:w="7978" w:type="dxa"/>
            <w:shd w:val="clear" w:color="auto" w:fill="D9D9D9" w:themeFill="background1" w:themeFillShade="D9"/>
            <w:vAlign w:val="center"/>
          </w:tcPr>
          <w:p w14:paraId="27CC42B6" w14:textId="77777777" w:rsidR="00FE0EE8" w:rsidRPr="00DD418A" w:rsidRDefault="00FE0EE8" w:rsidP="00376935">
            <w:pPr>
              <w:jc w:val="center"/>
              <w:rPr>
                <w:rFonts w:ascii="Arial" w:hAnsi="Arial" w:cs="Arial"/>
                <w:b/>
                <w:bCs/>
                <w:sz w:val="16"/>
                <w:szCs w:val="16"/>
              </w:rPr>
            </w:pPr>
            <w:r w:rsidRPr="00DD418A">
              <w:rPr>
                <w:rFonts w:ascii="Arial" w:hAnsi="Arial" w:cs="Arial"/>
                <w:b/>
                <w:bCs/>
                <w:sz w:val="16"/>
                <w:szCs w:val="16"/>
              </w:rPr>
              <w:t>Study Guide Notes</w:t>
            </w:r>
          </w:p>
        </w:tc>
      </w:tr>
      <w:tr w:rsidR="00FE0EE8" w:rsidRPr="00D40E5C" w14:paraId="10D3B3CC" w14:textId="77777777" w:rsidTr="005521FE">
        <w:trPr>
          <w:trHeight w:val="4032"/>
        </w:trPr>
        <w:tc>
          <w:tcPr>
            <w:tcW w:w="1440" w:type="dxa"/>
            <w:vMerge w:val="restart"/>
            <w:vAlign w:val="center"/>
          </w:tcPr>
          <w:p w14:paraId="0396EEE2" w14:textId="351DA887" w:rsidR="00FE0EE8" w:rsidRPr="008119B8" w:rsidRDefault="00A57830" w:rsidP="00A57830">
            <w:pPr>
              <w:pStyle w:val="Default"/>
              <w:rPr>
                <w:rFonts w:ascii="Arial" w:hAnsi="Arial" w:cs="Arial"/>
                <w:sz w:val="18"/>
                <w:szCs w:val="18"/>
              </w:rPr>
            </w:pPr>
            <w:r w:rsidRPr="008119B8">
              <w:rPr>
                <w:rFonts w:ascii="Arial" w:hAnsi="Arial" w:cs="Arial"/>
                <w:sz w:val="18"/>
                <w:szCs w:val="18"/>
              </w:rPr>
              <w:t xml:space="preserve">Explain how various economic factors contributed to the development of varied patterns of migration from 1750 to 1900. </w:t>
            </w:r>
          </w:p>
        </w:tc>
        <w:tc>
          <w:tcPr>
            <w:tcW w:w="1467" w:type="dxa"/>
            <w:vAlign w:val="center"/>
          </w:tcPr>
          <w:p w14:paraId="50570507" w14:textId="54493C73" w:rsidR="00FE0EE8" w:rsidRPr="008119B8" w:rsidRDefault="00A57830" w:rsidP="00A57830">
            <w:pPr>
              <w:pStyle w:val="Default"/>
              <w:rPr>
                <w:rFonts w:ascii="Arial" w:hAnsi="Arial" w:cs="Arial"/>
                <w:sz w:val="18"/>
                <w:szCs w:val="18"/>
              </w:rPr>
            </w:pPr>
            <w:r w:rsidRPr="008119B8">
              <w:rPr>
                <w:rFonts w:ascii="Arial" w:hAnsi="Arial" w:cs="Arial"/>
                <w:sz w:val="18"/>
                <w:szCs w:val="18"/>
              </w:rPr>
              <w:t xml:space="preserve">Many individuals chose freely to relocate, often in search of work. </w:t>
            </w:r>
          </w:p>
        </w:tc>
        <w:tc>
          <w:tcPr>
            <w:tcW w:w="7978" w:type="dxa"/>
            <w:vAlign w:val="center"/>
          </w:tcPr>
          <w:p w14:paraId="3568CED6" w14:textId="77777777" w:rsidR="00FE0EE8" w:rsidRPr="00D40E5C" w:rsidRDefault="00FE0EE8" w:rsidP="00376935">
            <w:pPr>
              <w:rPr>
                <w:rFonts w:ascii="Arial" w:hAnsi="Arial" w:cs="Arial"/>
                <w:sz w:val="18"/>
                <w:szCs w:val="18"/>
              </w:rPr>
            </w:pPr>
          </w:p>
        </w:tc>
      </w:tr>
      <w:tr w:rsidR="00FE0EE8" w:rsidRPr="00D40E5C" w14:paraId="419D8073" w14:textId="77777777" w:rsidTr="005521FE">
        <w:trPr>
          <w:trHeight w:val="4032"/>
        </w:trPr>
        <w:tc>
          <w:tcPr>
            <w:tcW w:w="1440" w:type="dxa"/>
            <w:vMerge/>
            <w:vAlign w:val="center"/>
          </w:tcPr>
          <w:p w14:paraId="24A55A99" w14:textId="77777777" w:rsidR="00FE0EE8" w:rsidRPr="008119B8" w:rsidRDefault="00FE0EE8" w:rsidP="00376935">
            <w:pPr>
              <w:rPr>
                <w:rFonts w:ascii="Arial" w:hAnsi="Arial" w:cs="Arial"/>
                <w:sz w:val="18"/>
                <w:szCs w:val="18"/>
              </w:rPr>
            </w:pPr>
          </w:p>
        </w:tc>
        <w:tc>
          <w:tcPr>
            <w:tcW w:w="1467" w:type="dxa"/>
            <w:vAlign w:val="center"/>
          </w:tcPr>
          <w:p w14:paraId="76916FFA" w14:textId="3E0C93A0" w:rsidR="00FE0EE8" w:rsidRPr="008119B8" w:rsidRDefault="00A57830" w:rsidP="00A57830">
            <w:pPr>
              <w:pStyle w:val="Default"/>
              <w:rPr>
                <w:rFonts w:ascii="Arial" w:hAnsi="Arial" w:cs="Arial"/>
                <w:sz w:val="18"/>
                <w:szCs w:val="18"/>
              </w:rPr>
            </w:pPr>
            <w:r w:rsidRPr="008119B8">
              <w:rPr>
                <w:rFonts w:ascii="Arial" w:hAnsi="Arial" w:cs="Arial"/>
                <w:sz w:val="18"/>
                <w:szCs w:val="18"/>
              </w:rPr>
              <w:t xml:space="preserve">The new global capitalist economy continued to rely on coerced and </w:t>
            </w:r>
            <w:proofErr w:type="spellStart"/>
            <w:r w:rsidRPr="008119B8">
              <w:rPr>
                <w:rFonts w:ascii="Arial" w:hAnsi="Arial" w:cs="Arial"/>
                <w:sz w:val="18"/>
                <w:szCs w:val="18"/>
              </w:rPr>
              <w:t>semicoerced</w:t>
            </w:r>
            <w:proofErr w:type="spellEnd"/>
            <w:r w:rsidRPr="008119B8">
              <w:rPr>
                <w:rFonts w:ascii="Arial" w:hAnsi="Arial" w:cs="Arial"/>
                <w:sz w:val="18"/>
                <w:szCs w:val="18"/>
              </w:rPr>
              <w:t xml:space="preserve"> labor migration, including slavery, Chinese and Indian indentured servitude, and convict labor. </w:t>
            </w:r>
          </w:p>
        </w:tc>
        <w:tc>
          <w:tcPr>
            <w:tcW w:w="7978" w:type="dxa"/>
            <w:vAlign w:val="center"/>
          </w:tcPr>
          <w:p w14:paraId="4481C634" w14:textId="77777777" w:rsidR="00FE0EE8" w:rsidRPr="00D40E5C" w:rsidRDefault="00FE0EE8" w:rsidP="00376935">
            <w:pPr>
              <w:rPr>
                <w:rFonts w:ascii="Arial" w:hAnsi="Arial" w:cs="Arial"/>
                <w:sz w:val="18"/>
                <w:szCs w:val="18"/>
              </w:rPr>
            </w:pPr>
          </w:p>
        </w:tc>
      </w:tr>
      <w:tr w:rsidR="00D40E5C" w:rsidRPr="00D40E5C" w14:paraId="7F60447F" w14:textId="77777777" w:rsidTr="005521FE">
        <w:trPr>
          <w:trHeight w:val="3600"/>
        </w:trPr>
        <w:tc>
          <w:tcPr>
            <w:tcW w:w="10885" w:type="dxa"/>
            <w:gridSpan w:val="3"/>
          </w:tcPr>
          <w:p w14:paraId="3AC053EB" w14:textId="11F9CC66" w:rsidR="00D40E5C" w:rsidRPr="00D40E5C" w:rsidRDefault="00D40E5C" w:rsidP="00D40E5C">
            <w:pPr>
              <w:rPr>
                <w:rFonts w:ascii="Arial" w:hAnsi="Arial" w:cs="Arial"/>
                <w:b/>
                <w:bCs/>
                <w:sz w:val="18"/>
                <w:szCs w:val="18"/>
              </w:rPr>
            </w:pPr>
            <w:r w:rsidRPr="00D40E5C">
              <w:rPr>
                <w:rFonts w:ascii="Arial" w:hAnsi="Arial" w:cs="Arial"/>
                <w:b/>
                <w:bCs/>
                <w:sz w:val="18"/>
                <w:szCs w:val="18"/>
              </w:rPr>
              <w:t>Respond to the Learning Objective:</w:t>
            </w:r>
          </w:p>
        </w:tc>
      </w:tr>
    </w:tbl>
    <w:p w14:paraId="0D1D0529" w14:textId="77777777" w:rsidR="00EB3680" w:rsidRPr="00D40E5C" w:rsidRDefault="00EB3680" w:rsidP="00D40E5C">
      <w:pPr>
        <w:spacing w:after="0"/>
        <w:rPr>
          <w:rFonts w:ascii="Arial" w:hAnsi="Arial" w:cs="Arial"/>
          <w:sz w:val="20"/>
          <w:szCs w:val="20"/>
        </w:rPr>
      </w:pPr>
    </w:p>
    <w:sectPr w:rsidR="00EB3680" w:rsidRPr="00D40E5C" w:rsidSect="005521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3sLCwNDMxNDY2NLFQ0lEKTi0uzszPAykwrAUA1K/0RSwAAAA="/>
  </w:docVars>
  <w:rsids>
    <w:rsidRoot w:val="00D40E5C"/>
    <w:rsid w:val="002800AC"/>
    <w:rsid w:val="00477207"/>
    <w:rsid w:val="005521FE"/>
    <w:rsid w:val="008119B8"/>
    <w:rsid w:val="00A57830"/>
    <w:rsid w:val="00BA2094"/>
    <w:rsid w:val="00D011E4"/>
    <w:rsid w:val="00D40E5C"/>
    <w:rsid w:val="00DD418A"/>
    <w:rsid w:val="00EB3680"/>
    <w:rsid w:val="00FA1396"/>
    <w:rsid w:val="00FE0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0A94"/>
  <w15:chartTrackingRefBased/>
  <w15:docId w15:val="{F3BFDABF-3BAA-44F8-B280-1DD19D86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0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0EE8"/>
    <w:pPr>
      <w:autoSpaceDE w:val="0"/>
      <w:autoSpaceDN w:val="0"/>
      <w:adjustRightInd w:val="0"/>
      <w:spacing w:after="0" w:line="240" w:lineRule="auto"/>
    </w:pPr>
    <w:rPr>
      <w:rFonts w:ascii="Aktiv Grotesk" w:hAnsi="Aktiv Grotesk" w:cs="Aktiv Grotes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98721">
      <w:bodyDiv w:val="1"/>
      <w:marLeft w:val="0"/>
      <w:marRight w:val="0"/>
      <w:marTop w:val="0"/>
      <w:marBottom w:val="0"/>
      <w:divBdr>
        <w:top w:val="none" w:sz="0" w:space="0" w:color="auto"/>
        <w:left w:val="none" w:sz="0" w:space="0" w:color="auto"/>
        <w:bottom w:val="none" w:sz="0" w:space="0" w:color="auto"/>
        <w:right w:val="none" w:sz="0" w:space="0" w:color="auto"/>
      </w:divBdr>
    </w:div>
    <w:div w:id="1313683666">
      <w:bodyDiv w:val="1"/>
      <w:marLeft w:val="0"/>
      <w:marRight w:val="0"/>
      <w:marTop w:val="0"/>
      <w:marBottom w:val="0"/>
      <w:divBdr>
        <w:top w:val="none" w:sz="0" w:space="0" w:color="auto"/>
        <w:left w:val="none" w:sz="0" w:space="0" w:color="auto"/>
        <w:bottom w:val="none" w:sz="0" w:space="0" w:color="auto"/>
        <w:right w:val="none" w:sz="0" w:space="0" w:color="auto"/>
      </w:divBdr>
    </w:div>
    <w:div w:id="1457413467">
      <w:bodyDiv w:val="1"/>
      <w:marLeft w:val="0"/>
      <w:marRight w:val="0"/>
      <w:marTop w:val="0"/>
      <w:marBottom w:val="0"/>
      <w:divBdr>
        <w:top w:val="none" w:sz="0" w:space="0" w:color="auto"/>
        <w:left w:val="none" w:sz="0" w:space="0" w:color="auto"/>
        <w:bottom w:val="none" w:sz="0" w:space="0" w:color="auto"/>
        <w:right w:val="none" w:sz="0" w:space="0" w:color="auto"/>
      </w:divBdr>
    </w:div>
    <w:div w:id="1504472275">
      <w:bodyDiv w:val="1"/>
      <w:marLeft w:val="0"/>
      <w:marRight w:val="0"/>
      <w:marTop w:val="0"/>
      <w:marBottom w:val="0"/>
      <w:divBdr>
        <w:top w:val="none" w:sz="0" w:space="0" w:color="auto"/>
        <w:left w:val="none" w:sz="0" w:space="0" w:color="auto"/>
        <w:bottom w:val="none" w:sz="0" w:space="0" w:color="auto"/>
        <w:right w:val="none" w:sz="0" w:space="0" w:color="auto"/>
      </w:divBdr>
    </w:div>
    <w:div w:id="18135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Zeigler</dc:creator>
  <cp:keywords/>
  <dc:description/>
  <cp:lastModifiedBy>William Zeigler</cp:lastModifiedBy>
  <cp:revision>7</cp:revision>
  <dcterms:created xsi:type="dcterms:W3CDTF">2020-01-28T21:43:00Z</dcterms:created>
  <dcterms:modified xsi:type="dcterms:W3CDTF">2020-07-08T23:18:00Z</dcterms:modified>
</cp:coreProperties>
</file>