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94D8B" w14:textId="6FD8F92E" w:rsidR="00F02484" w:rsidRDefault="00A5040A" w:rsidP="005F21DA">
      <w:pPr>
        <w:tabs>
          <w:tab w:val="right" w:pos="10800"/>
        </w:tabs>
        <w:spacing w:after="0"/>
        <w:rPr>
          <w:rFonts w:ascii="Arial" w:eastAsia="Arial" w:hAnsi="Arial" w:cs="Arial"/>
          <w:b/>
          <w:sz w:val="20"/>
          <w:szCs w:val="20"/>
        </w:rPr>
      </w:pPr>
      <w:r>
        <w:rPr>
          <w:rFonts w:ascii="Arial" w:eastAsia="Arial" w:hAnsi="Arial" w:cs="Arial"/>
          <w:b/>
          <w:sz w:val="20"/>
          <w:szCs w:val="20"/>
        </w:rPr>
        <w:t>Unit 9 – Globalization</w:t>
      </w:r>
      <w:r>
        <w:rPr>
          <w:rFonts w:ascii="Arial" w:eastAsia="Arial" w:hAnsi="Arial" w:cs="Arial"/>
          <w:b/>
          <w:sz w:val="20"/>
          <w:szCs w:val="20"/>
        </w:rPr>
        <w:tab/>
        <w:t>Topic 9.4 – Economics in a Global Age</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860"/>
        <w:gridCol w:w="7585"/>
      </w:tblGrid>
      <w:tr w:rsidR="00F02484" w14:paraId="03094D8E" w14:textId="77777777" w:rsidTr="005F21DA">
        <w:tc>
          <w:tcPr>
            <w:tcW w:w="10885" w:type="dxa"/>
            <w:gridSpan w:val="3"/>
          </w:tcPr>
          <w:p w14:paraId="03094D8C" w14:textId="77777777" w:rsidR="00F02484" w:rsidRDefault="00A5040A">
            <w:pPr>
              <w:rPr>
                <w:rFonts w:ascii="Arial" w:eastAsia="Arial" w:hAnsi="Arial" w:cs="Arial"/>
                <w:sz w:val="20"/>
                <w:szCs w:val="20"/>
              </w:rPr>
            </w:pPr>
            <w:r>
              <w:rPr>
                <w:rFonts w:ascii="Arial" w:eastAsia="Arial" w:hAnsi="Arial" w:cs="Arial"/>
                <w:b/>
                <w:sz w:val="20"/>
                <w:szCs w:val="20"/>
              </w:rPr>
              <w:t>Economic Systems</w:t>
            </w:r>
          </w:p>
          <w:p w14:paraId="03094D8D" w14:textId="77777777" w:rsidR="00F02484" w:rsidRDefault="00A5040A">
            <w:pPr>
              <w:rPr>
                <w:rFonts w:ascii="Arial" w:eastAsia="Arial" w:hAnsi="Arial" w:cs="Arial"/>
                <w:b/>
                <w:sz w:val="20"/>
                <w:szCs w:val="20"/>
              </w:rPr>
            </w:pPr>
            <w:r>
              <w:rPr>
                <w:rFonts w:ascii="Arial" w:eastAsia="Arial" w:hAnsi="Arial" w:cs="Arial"/>
                <w:sz w:val="20"/>
                <w:szCs w:val="20"/>
              </w:rPr>
              <w:t>As societies develop, they affect and are affected by the ways that they produce, exchange, and consume goods and services.</w:t>
            </w:r>
          </w:p>
        </w:tc>
      </w:tr>
      <w:tr w:rsidR="00F02484" w14:paraId="03094D92" w14:textId="77777777" w:rsidTr="005F21DA">
        <w:tc>
          <w:tcPr>
            <w:tcW w:w="1440" w:type="dxa"/>
            <w:shd w:val="clear" w:color="auto" w:fill="D9D9D9"/>
            <w:vAlign w:val="center"/>
          </w:tcPr>
          <w:p w14:paraId="03094D8F" w14:textId="77777777" w:rsidR="00F02484" w:rsidRDefault="00A5040A">
            <w:pPr>
              <w:jc w:val="center"/>
              <w:rPr>
                <w:rFonts w:ascii="Arial" w:eastAsia="Arial" w:hAnsi="Arial" w:cs="Arial"/>
                <w:b/>
                <w:sz w:val="16"/>
                <w:szCs w:val="16"/>
              </w:rPr>
            </w:pPr>
            <w:r>
              <w:rPr>
                <w:rFonts w:ascii="Arial" w:eastAsia="Arial" w:hAnsi="Arial" w:cs="Arial"/>
                <w:b/>
                <w:sz w:val="16"/>
                <w:szCs w:val="16"/>
              </w:rPr>
              <w:t>Learning Objective</w:t>
            </w:r>
          </w:p>
        </w:tc>
        <w:tc>
          <w:tcPr>
            <w:tcW w:w="1860" w:type="dxa"/>
            <w:shd w:val="clear" w:color="auto" w:fill="D9D9D9"/>
            <w:vAlign w:val="center"/>
          </w:tcPr>
          <w:p w14:paraId="03094D90" w14:textId="77777777" w:rsidR="00F02484" w:rsidRDefault="00A5040A">
            <w:pPr>
              <w:jc w:val="center"/>
              <w:rPr>
                <w:rFonts w:ascii="Arial" w:eastAsia="Arial" w:hAnsi="Arial" w:cs="Arial"/>
                <w:b/>
                <w:sz w:val="16"/>
                <w:szCs w:val="16"/>
              </w:rPr>
            </w:pPr>
            <w:r>
              <w:rPr>
                <w:rFonts w:ascii="Arial" w:eastAsia="Arial" w:hAnsi="Arial" w:cs="Arial"/>
                <w:b/>
                <w:sz w:val="16"/>
                <w:szCs w:val="16"/>
              </w:rPr>
              <w:t>Historical Developments</w:t>
            </w:r>
          </w:p>
        </w:tc>
        <w:tc>
          <w:tcPr>
            <w:tcW w:w="7585" w:type="dxa"/>
            <w:shd w:val="clear" w:color="auto" w:fill="D9D9D9"/>
            <w:vAlign w:val="center"/>
          </w:tcPr>
          <w:p w14:paraId="03094D91" w14:textId="77777777" w:rsidR="00F02484" w:rsidRDefault="00A5040A">
            <w:pPr>
              <w:jc w:val="center"/>
              <w:rPr>
                <w:rFonts w:ascii="Arial" w:eastAsia="Arial" w:hAnsi="Arial" w:cs="Arial"/>
                <w:b/>
                <w:sz w:val="16"/>
                <w:szCs w:val="16"/>
              </w:rPr>
            </w:pPr>
            <w:r>
              <w:rPr>
                <w:rFonts w:ascii="Arial" w:eastAsia="Arial" w:hAnsi="Arial" w:cs="Arial"/>
                <w:b/>
                <w:sz w:val="16"/>
                <w:szCs w:val="16"/>
              </w:rPr>
              <w:t>Study Guide Notes</w:t>
            </w:r>
          </w:p>
        </w:tc>
      </w:tr>
      <w:tr w:rsidR="00F02484" w14:paraId="03094DA1" w14:textId="77777777" w:rsidTr="005F21DA">
        <w:trPr>
          <w:trHeight w:val="3888"/>
        </w:trPr>
        <w:tc>
          <w:tcPr>
            <w:tcW w:w="1440" w:type="dxa"/>
            <w:vMerge w:val="restart"/>
            <w:vAlign w:val="center"/>
          </w:tcPr>
          <w:p w14:paraId="03094D9D" w14:textId="232EE772" w:rsidR="00F02484" w:rsidRDefault="00A5040A" w:rsidP="00A5040A">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Explain the continuities and changes in the global economy from 1900 to present.</w:t>
            </w:r>
          </w:p>
        </w:tc>
        <w:tc>
          <w:tcPr>
            <w:tcW w:w="1860" w:type="dxa"/>
            <w:vAlign w:val="center"/>
          </w:tcPr>
          <w:p w14:paraId="03094D9E" w14:textId="77777777" w:rsidR="00F02484" w:rsidRDefault="00A5040A">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In a trend accelerated by the end of the Cold War, many governments encouraged free market economic policies and promoted economic liberalization in the late 20th century.</w:t>
            </w:r>
          </w:p>
          <w:p w14:paraId="03094D9F" w14:textId="77777777" w:rsidR="00F02484" w:rsidRDefault="00F02484">
            <w:pPr>
              <w:pBdr>
                <w:top w:val="nil"/>
                <w:left w:val="nil"/>
                <w:bottom w:val="nil"/>
                <w:right w:val="nil"/>
                <w:between w:val="nil"/>
              </w:pBdr>
              <w:rPr>
                <w:rFonts w:ascii="Arial" w:eastAsia="Arial" w:hAnsi="Arial" w:cs="Arial"/>
                <w:sz w:val="18"/>
                <w:szCs w:val="18"/>
              </w:rPr>
            </w:pPr>
          </w:p>
        </w:tc>
        <w:tc>
          <w:tcPr>
            <w:tcW w:w="7585" w:type="dxa"/>
            <w:vAlign w:val="center"/>
          </w:tcPr>
          <w:p w14:paraId="03094DA0" w14:textId="77777777" w:rsidR="00F02484" w:rsidRDefault="00F02484">
            <w:pPr>
              <w:rPr>
                <w:rFonts w:ascii="Arial" w:eastAsia="Arial" w:hAnsi="Arial" w:cs="Arial"/>
                <w:sz w:val="18"/>
                <w:szCs w:val="18"/>
              </w:rPr>
            </w:pPr>
          </w:p>
        </w:tc>
      </w:tr>
      <w:tr w:rsidR="00F02484" w14:paraId="03094DA5" w14:textId="77777777" w:rsidTr="005F21DA">
        <w:trPr>
          <w:trHeight w:val="4032"/>
        </w:trPr>
        <w:tc>
          <w:tcPr>
            <w:tcW w:w="1440" w:type="dxa"/>
            <w:vMerge/>
            <w:vAlign w:val="center"/>
          </w:tcPr>
          <w:p w14:paraId="03094DA2" w14:textId="77777777" w:rsidR="00F02484" w:rsidRDefault="00F02484">
            <w:pPr>
              <w:pBdr>
                <w:top w:val="nil"/>
                <w:left w:val="nil"/>
                <w:bottom w:val="nil"/>
                <w:right w:val="nil"/>
                <w:between w:val="nil"/>
              </w:pBdr>
              <w:rPr>
                <w:rFonts w:ascii="Arial" w:eastAsia="Arial" w:hAnsi="Arial" w:cs="Arial"/>
                <w:b/>
                <w:sz w:val="18"/>
                <w:szCs w:val="18"/>
              </w:rPr>
            </w:pPr>
          </w:p>
        </w:tc>
        <w:tc>
          <w:tcPr>
            <w:tcW w:w="1860" w:type="dxa"/>
            <w:vAlign w:val="center"/>
          </w:tcPr>
          <w:p w14:paraId="03094DA3" w14:textId="77777777" w:rsidR="00F02484" w:rsidRDefault="00A5040A">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In the late 20th century, revolutions in information and communications technology led to the growth of knowledge economies in some regions, while industrial production and manufacturing were increasingly situated in Asia and Latin America.</w:t>
            </w:r>
          </w:p>
        </w:tc>
        <w:tc>
          <w:tcPr>
            <w:tcW w:w="7585" w:type="dxa"/>
            <w:vAlign w:val="center"/>
          </w:tcPr>
          <w:p w14:paraId="03094DA4" w14:textId="77777777" w:rsidR="00F02484" w:rsidRDefault="00F02484">
            <w:pPr>
              <w:rPr>
                <w:rFonts w:ascii="Arial" w:eastAsia="Arial" w:hAnsi="Arial" w:cs="Arial"/>
                <w:sz w:val="18"/>
                <w:szCs w:val="18"/>
              </w:rPr>
            </w:pPr>
          </w:p>
        </w:tc>
      </w:tr>
      <w:tr w:rsidR="00F02484" w14:paraId="03094DAA" w14:textId="77777777" w:rsidTr="005F21DA">
        <w:trPr>
          <w:trHeight w:val="2592"/>
        </w:trPr>
        <w:tc>
          <w:tcPr>
            <w:tcW w:w="1440" w:type="dxa"/>
            <w:vMerge/>
            <w:vAlign w:val="center"/>
          </w:tcPr>
          <w:p w14:paraId="03094DA6" w14:textId="77777777" w:rsidR="00F02484" w:rsidRDefault="00F02484">
            <w:pPr>
              <w:pBdr>
                <w:top w:val="nil"/>
                <w:left w:val="nil"/>
                <w:bottom w:val="nil"/>
                <w:right w:val="nil"/>
                <w:between w:val="nil"/>
              </w:pBdr>
              <w:rPr>
                <w:rFonts w:ascii="Arial" w:eastAsia="Arial" w:hAnsi="Arial" w:cs="Arial"/>
                <w:color w:val="000000"/>
                <w:sz w:val="18"/>
                <w:szCs w:val="18"/>
              </w:rPr>
            </w:pPr>
          </w:p>
        </w:tc>
        <w:tc>
          <w:tcPr>
            <w:tcW w:w="1860" w:type="dxa"/>
            <w:vMerge w:val="restart"/>
            <w:vAlign w:val="center"/>
          </w:tcPr>
          <w:p w14:paraId="03094DA7" w14:textId="77777777" w:rsidR="00F02484" w:rsidRDefault="00A5040A">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Changing economic institutions, multinational corporations, and regional trade agreements reflected the spread of principles and practices associated with free-market economics throughout the world.</w:t>
            </w:r>
          </w:p>
          <w:p w14:paraId="03094DA8" w14:textId="77777777" w:rsidR="00F02484" w:rsidRDefault="00F02484">
            <w:pPr>
              <w:pBdr>
                <w:top w:val="nil"/>
                <w:left w:val="nil"/>
                <w:bottom w:val="nil"/>
                <w:right w:val="nil"/>
                <w:between w:val="nil"/>
              </w:pBdr>
              <w:rPr>
                <w:rFonts w:ascii="Arial" w:eastAsia="Arial" w:hAnsi="Arial" w:cs="Arial"/>
                <w:sz w:val="18"/>
                <w:szCs w:val="18"/>
              </w:rPr>
            </w:pPr>
          </w:p>
        </w:tc>
        <w:tc>
          <w:tcPr>
            <w:tcW w:w="7585" w:type="dxa"/>
            <w:vMerge w:val="restart"/>
            <w:vAlign w:val="center"/>
          </w:tcPr>
          <w:p w14:paraId="03094DA9" w14:textId="77777777" w:rsidR="00F02484" w:rsidRDefault="00F02484">
            <w:pPr>
              <w:rPr>
                <w:rFonts w:ascii="Arial" w:eastAsia="Arial" w:hAnsi="Arial" w:cs="Arial"/>
                <w:sz w:val="18"/>
                <w:szCs w:val="18"/>
              </w:rPr>
            </w:pPr>
          </w:p>
        </w:tc>
      </w:tr>
      <w:tr w:rsidR="00F02484" w14:paraId="03094DAE" w14:textId="77777777" w:rsidTr="005F21DA">
        <w:trPr>
          <w:trHeight w:val="1950"/>
        </w:trPr>
        <w:tc>
          <w:tcPr>
            <w:tcW w:w="1440" w:type="dxa"/>
            <w:vMerge/>
            <w:vAlign w:val="center"/>
          </w:tcPr>
          <w:p w14:paraId="03094DAB" w14:textId="77777777" w:rsidR="00F02484" w:rsidRDefault="00F02484">
            <w:pPr>
              <w:pBdr>
                <w:top w:val="nil"/>
                <w:left w:val="nil"/>
                <w:bottom w:val="nil"/>
                <w:right w:val="nil"/>
                <w:between w:val="nil"/>
              </w:pBdr>
              <w:rPr>
                <w:rFonts w:ascii="Arial" w:eastAsia="Arial" w:hAnsi="Arial" w:cs="Arial"/>
                <w:color w:val="000000"/>
                <w:sz w:val="18"/>
                <w:szCs w:val="18"/>
              </w:rPr>
            </w:pPr>
          </w:p>
        </w:tc>
        <w:tc>
          <w:tcPr>
            <w:tcW w:w="1860" w:type="dxa"/>
            <w:vMerge/>
            <w:vAlign w:val="center"/>
          </w:tcPr>
          <w:p w14:paraId="03094DAC" w14:textId="77777777" w:rsidR="00F02484" w:rsidRDefault="00F02484">
            <w:pPr>
              <w:pBdr>
                <w:top w:val="nil"/>
                <w:left w:val="nil"/>
                <w:bottom w:val="nil"/>
                <w:right w:val="nil"/>
                <w:between w:val="nil"/>
              </w:pBdr>
              <w:rPr>
                <w:rFonts w:ascii="Arial" w:eastAsia="Arial" w:hAnsi="Arial" w:cs="Arial"/>
                <w:sz w:val="18"/>
                <w:szCs w:val="18"/>
              </w:rPr>
            </w:pPr>
          </w:p>
        </w:tc>
        <w:tc>
          <w:tcPr>
            <w:tcW w:w="7585" w:type="dxa"/>
            <w:vMerge/>
            <w:vAlign w:val="center"/>
          </w:tcPr>
          <w:p w14:paraId="03094DAD" w14:textId="77777777" w:rsidR="00F02484" w:rsidRDefault="00F02484">
            <w:pPr>
              <w:rPr>
                <w:rFonts w:ascii="Arial" w:eastAsia="Arial" w:hAnsi="Arial" w:cs="Arial"/>
                <w:sz w:val="18"/>
                <w:szCs w:val="18"/>
              </w:rPr>
            </w:pPr>
            <w:bookmarkStart w:id="0" w:name="_gjdgxs" w:colFirst="0" w:colLast="0"/>
            <w:bookmarkEnd w:id="0"/>
          </w:p>
        </w:tc>
      </w:tr>
      <w:tr w:rsidR="00F02484" w14:paraId="03094DB0" w14:textId="77777777" w:rsidTr="005F21DA">
        <w:trPr>
          <w:trHeight w:val="3600"/>
        </w:trPr>
        <w:tc>
          <w:tcPr>
            <w:tcW w:w="10885" w:type="dxa"/>
            <w:gridSpan w:val="3"/>
          </w:tcPr>
          <w:p w14:paraId="03094DAF" w14:textId="77777777" w:rsidR="00F02484" w:rsidRDefault="00A5040A">
            <w:pPr>
              <w:rPr>
                <w:rFonts w:ascii="Arial" w:eastAsia="Arial" w:hAnsi="Arial" w:cs="Arial"/>
                <w:b/>
                <w:sz w:val="18"/>
                <w:szCs w:val="18"/>
              </w:rPr>
            </w:pPr>
            <w:r>
              <w:rPr>
                <w:rFonts w:ascii="Arial" w:eastAsia="Arial" w:hAnsi="Arial" w:cs="Arial"/>
                <w:b/>
                <w:sz w:val="18"/>
                <w:szCs w:val="18"/>
              </w:rPr>
              <w:lastRenderedPageBreak/>
              <w:t>Respond to the Learning Objective:</w:t>
            </w:r>
          </w:p>
        </w:tc>
      </w:tr>
    </w:tbl>
    <w:p w14:paraId="03094DB1" w14:textId="77777777" w:rsidR="00F02484" w:rsidRDefault="00F02484">
      <w:pPr>
        <w:spacing w:after="0"/>
        <w:rPr>
          <w:rFonts w:ascii="Arial" w:eastAsia="Arial" w:hAnsi="Arial" w:cs="Arial"/>
          <w:sz w:val="20"/>
          <w:szCs w:val="20"/>
        </w:rPr>
      </w:pPr>
    </w:p>
    <w:sectPr w:rsidR="00F02484" w:rsidSect="005F21D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84"/>
    <w:rsid w:val="005F21DA"/>
    <w:rsid w:val="00A5040A"/>
    <w:rsid w:val="00F0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4D8B"/>
  <w15:docId w15:val="{E8346D9F-61EF-4B48-8A4A-528925FA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Zeigler</cp:lastModifiedBy>
  <cp:revision>3</cp:revision>
  <dcterms:created xsi:type="dcterms:W3CDTF">2020-07-08T18:39:00Z</dcterms:created>
  <dcterms:modified xsi:type="dcterms:W3CDTF">2020-07-08T23:38:00Z</dcterms:modified>
</cp:coreProperties>
</file>